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27" w:rsidRDefault="00EA4827" w:rsidP="00EA4827">
      <w:pPr>
        <w:spacing w:after="0"/>
        <w:ind w:left="4345" w:right="163" w:hanging="5"/>
        <w:rPr>
          <w:sz w:val="22"/>
        </w:rPr>
      </w:pPr>
      <w:proofErr w:type="spellStart"/>
      <w:r w:rsidRPr="00DB7556">
        <w:rPr>
          <w:sz w:val="22"/>
        </w:rPr>
        <w:t>Members</w:t>
      </w:r>
      <w:proofErr w:type="spellEnd"/>
      <w:r w:rsidRPr="00DB7556">
        <w:rPr>
          <w:sz w:val="22"/>
        </w:rPr>
        <w:t xml:space="preserve"> of </w:t>
      </w:r>
      <w:proofErr w:type="spellStart"/>
      <w:r w:rsidRPr="00DB7556">
        <w:rPr>
          <w:sz w:val="22"/>
        </w:rPr>
        <w:t>the</w:t>
      </w:r>
      <w:proofErr w:type="spellEnd"/>
      <w:r w:rsidRPr="00DB7556">
        <w:rPr>
          <w:sz w:val="22"/>
        </w:rPr>
        <w:t xml:space="preserve"> European </w:t>
      </w:r>
      <w:proofErr w:type="spellStart"/>
      <w:r w:rsidRPr="00DB7556">
        <w:rPr>
          <w:sz w:val="22"/>
        </w:rPr>
        <w:t>Parliament</w:t>
      </w:r>
      <w:proofErr w:type="spellEnd"/>
      <w:r w:rsidRPr="00DB7556">
        <w:rPr>
          <w:sz w:val="22"/>
        </w:rPr>
        <w:t xml:space="preserve"> </w:t>
      </w:r>
      <w:r w:rsidRPr="00DB7556">
        <w:rPr>
          <w:noProof/>
          <w:sz w:val="22"/>
        </w:rPr>
        <w:drawing>
          <wp:inline distT="0" distB="0" distL="0" distR="0">
            <wp:extent cx="57923" cy="97564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B7556">
        <w:rPr>
          <w:sz w:val="22"/>
        </w:rPr>
        <w:t>mployment</w:t>
      </w:r>
      <w:proofErr w:type="spellEnd"/>
      <w:r w:rsidRPr="00DB7556">
        <w:rPr>
          <w:sz w:val="22"/>
        </w:rPr>
        <w:t xml:space="preserve"> and </w:t>
      </w:r>
      <w:proofErr w:type="spellStart"/>
      <w:r w:rsidRPr="00DB7556">
        <w:rPr>
          <w:sz w:val="22"/>
        </w:rPr>
        <w:t>Social</w:t>
      </w:r>
      <w:proofErr w:type="spellEnd"/>
      <w:r w:rsidRPr="00DB7556">
        <w:rPr>
          <w:sz w:val="22"/>
        </w:rPr>
        <w:t xml:space="preserve"> </w:t>
      </w:r>
      <w:proofErr w:type="spellStart"/>
      <w:r w:rsidRPr="00DB7556">
        <w:rPr>
          <w:sz w:val="22"/>
        </w:rPr>
        <w:t>Affairs</w:t>
      </w:r>
      <w:proofErr w:type="spellEnd"/>
      <w:r w:rsidRPr="00DB7556">
        <w:rPr>
          <w:sz w:val="22"/>
        </w:rPr>
        <w:t xml:space="preserve"> </w:t>
      </w:r>
      <w:proofErr w:type="spellStart"/>
      <w:r w:rsidRPr="00DB7556">
        <w:rPr>
          <w:sz w:val="22"/>
        </w:rPr>
        <w:t>Committee</w:t>
      </w:r>
      <w:proofErr w:type="spellEnd"/>
    </w:p>
    <w:p w:rsidR="00EA4827" w:rsidRDefault="00EA4827" w:rsidP="00EA4827">
      <w:pPr>
        <w:spacing w:after="0"/>
        <w:ind w:left="4345" w:right="163" w:hanging="5"/>
        <w:rPr>
          <w:sz w:val="22"/>
        </w:rPr>
      </w:pPr>
      <w:proofErr w:type="spellStart"/>
      <w:r w:rsidRPr="00DB7556">
        <w:rPr>
          <w:sz w:val="22"/>
        </w:rPr>
        <w:t>Rue</w:t>
      </w:r>
      <w:proofErr w:type="spellEnd"/>
      <w:r w:rsidRPr="00DB7556">
        <w:rPr>
          <w:sz w:val="22"/>
        </w:rPr>
        <w:t xml:space="preserve"> </w:t>
      </w:r>
      <w:proofErr w:type="spellStart"/>
      <w:r w:rsidRPr="00DB7556">
        <w:rPr>
          <w:sz w:val="22"/>
        </w:rPr>
        <w:t>Wiertz</w:t>
      </w:r>
      <w:proofErr w:type="spellEnd"/>
      <w:r w:rsidRPr="00DB7556">
        <w:rPr>
          <w:sz w:val="22"/>
        </w:rPr>
        <w:t xml:space="preserve"> 60</w:t>
      </w:r>
    </w:p>
    <w:p w:rsidR="00E119CE" w:rsidRPr="00DB7556" w:rsidRDefault="00EA4827" w:rsidP="00EA4827">
      <w:pPr>
        <w:spacing w:after="0"/>
        <w:ind w:left="4345" w:right="163" w:hanging="5"/>
        <w:rPr>
          <w:sz w:val="22"/>
        </w:rPr>
      </w:pPr>
      <w:r w:rsidRPr="00DB7556">
        <w:rPr>
          <w:sz w:val="22"/>
        </w:rPr>
        <w:t xml:space="preserve">1050 </w:t>
      </w:r>
      <w:proofErr w:type="spellStart"/>
      <w:r w:rsidRPr="00DB7556">
        <w:rPr>
          <w:sz w:val="22"/>
        </w:rPr>
        <w:t>Brussels</w:t>
      </w:r>
      <w:proofErr w:type="spellEnd"/>
    </w:p>
    <w:p w:rsidR="000B2024" w:rsidRPr="00B96C53" w:rsidRDefault="000B2024" w:rsidP="000B2024">
      <w:pPr>
        <w:spacing w:after="0"/>
        <w:ind w:left="10" w:right="163" w:firstLine="14"/>
        <w:jc w:val="right"/>
        <w:rPr>
          <w:szCs w:val="24"/>
        </w:rPr>
      </w:pPr>
      <w:r w:rsidRPr="00B96C53">
        <w:rPr>
          <w:szCs w:val="24"/>
        </w:rPr>
        <w:t xml:space="preserve">2023. március 27. </w:t>
      </w:r>
    </w:p>
    <w:p w:rsidR="000B2024" w:rsidRPr="000B2024" w:rsidRDefault="000B2024" w:rsidP="000B2024">
      <w:pPr>
        <w:spacing w:after="0"/>
        <w:ind w:left="10" w:right="163" w:firstLine="14"/>
        <w:jc w:val="right"/>
        <w:rPr>
          <w:sz w:val="34"/>
        </w:rPr>
      </w:pPr>
    </w:p>
    <w:p w:rsidR="00C7685F" w:rsidRDefault="00C7685F" w:rsidP="000B2024">
      <w:pPr>
        <w:spacing w:after="120"/>
        <w:ind w:left="11" w:right="164" w:firstLine="11"/>
        <w:rPr>
          <w:b/>
          <w:szCs w:val="24"/>
        </w:rPr>
      </w:pPr>
    </w:p>
    <w:p w:rsidR="000B2024" w:rsidRPr="00C7685F" w:rsidRDefault="000B2024" w:rsidP="000B2024">
      <w:pPr>
        <w:spacing w:after="120"/>
        <w:ind w:left="11" w:right="164" w:firstLine="11"/>
        <w:rPr>
          <w:szCs w:val="24"/>
        </w:rPr>
      </w:pPr>
      <w:r w:rsidRPr="00C7685F">
        <w:rPr>
          <w:szCs w:val="24"/>
        </w:rPr>
        <w:t>8 európai ágazati munkáltató közös üzenete a szociális párbeszéd megerősítéséről szóló állásfoglalásra irányuló indítványtervezetről</w:t>
      </w:r>
    </w:p>
    <w:p w:rsidR="000B2024" w:rsidRPr="00B96C53" w:rsidRDefault="000B2024" w:rsidP="000B2024">
      <w:pPr>
        <w:spacing w:after="120"/>
        <w:ind w:left="11" w:right="164" w:firstLine="11"/>
        <w:rPr>
          <w:b/>
          <w:szCs w:val="24"/>
        </w:rPr>
      </w:pPr>
    </w:p>
    <w:p w:rsidR="000B2024" w:rsidRPr="00B96C53" w:rsidRDefault="000B2024" w:rsidP="000B2024">
      <w:pPr>
        <w:spacing w:after="120"/>
        <w:ind w:left="11" w:right="164" w:firstLine="11"/>
        <w:rPr>
          <w:szCs w:val="24"/>
        </w:rPr>
      </w:pPr>
      <w:r w:rsidRPr="00B96C53">
        <w:rPr>
          <w:szCs w:val="24"/>
        </w:rPr>
        <w:t>Tisztelt Európai Parlamenti Képviselő úr!</w:t>
      </w:r>
    </w:p>
    <w:p w:rsidR="000B2024" w:rsidRPr="00B96C53" w:rsidRDefault="000B2024" w:rsidP="000B2024">
      <w:pPr>
        <w:spacing w:after="120"/>
        <w:ind w:left="11" w:right="164" w:firstLine="11"/>
        <w:rPr>
          <w:szCs w:val="24"/>
        </w:rPr>
      </w:pPr>
    </w:p>
    <w:p w:rsidR="000B2024" w:rsidRPr="00B96C53" w:rsidRDefault="00355159" w:rsidP="00B96C53">
      <w:pPr>
        <w:spacing w:after="0"/>
        <w:ind w:left="11" w:right="164" w:firstLine="11"/>
        <w:rPr>
          <w:szCs w:val="24"/>
        </w:rPr>
      </w:pPr>
      <w:r w:rsidRPr="00B96C53">
        <w:rPr>
          <w:szCs w:val="24"/>
        </w:rPr>
        <w:t>Az e</w:t>
      </w:r>
      <w:r w:rsidR="000B2024" w:rsidRPr="00B96C53">
        <w:rPr>
          <w:szCs w:val="24"/>
        </w:rPr>
        <w:t xml:space="preserve">urópai ágazati munkáltatói szervezetként erősen elkötelezettek vagyunk az európai és nemzeti szintű </w:t>
      </w:r>
      <w:proofErr w:type="gramStart"/>
      <w:r w:rsidR="000B2024" w:rsidRPr="00B96C53">
        <w:rPr>
          <w:szCs w:val="24"/>
        </w:rPr>
        <w:t>konstruktív</w:t>
      </w:r>
      <w:proofErr w:type="gramEnd"/>
      <w:r w:rsidR="000B2024" w:rsidRPr="00B96C53">
        <w:rPr>
          <w:szCs w:val="24"/>
        </w:rPr>
        <w:t xml:space="preserve"> ágazati s</w:t>
      </w:r>
      <w:r w:rsidRPr="00B96C53">
        <w:rPr>
          <w:szCs w:val="24"/>
        </w:rPr>
        <w:t>zociális párbeszéd mellett, és e</w:t>
      </w:r>
      <w:r w:rsidR="000B2024" w:rsidRPr="00B96C53">
        <w:rPr>
          <w:szCs w:val="24"/>
        </w:rPr>
        <w:t>zért szeretnénk közösen hozzájárulni az Európai Parlament Foglalkoztatási és Szociális Bizottságában</w:t>
      </w:r>
      <w:r w:rsidR="00B96C53" w:rsidRPr="00B96C53">
        <w:rPr>
          <w:szCs w:val="24"/>
        </w:rPr>
        <w:t xml:space="preserve"> a</w:t>
      </w:r>
      <w:r w:rsidR="000B2024" w:rsidRPr="00B96C53">
        <w:rPr>
          <w:szCs w:val="24"/>
        </w:rPr>
        <w:t xml:space="preserve"> jelenleg tárgyalt ál</w:t>
      </w:r>
      <w:r w:rsidR="00B96C53" w:rsidRPr="00B96C53">
        <w:rPr>
          <w:szCs w:val="24"/>
        </w:rPr>
        <w:t>lásfoglalási indítvány tervezet</w:t>
      </w:r>
      <w:r w:rsidR="000B2024" w:rsidRPr="00B96C53">
        <w:rPr>
          <w:szCs w:val="24"/>
        </w:rPr>
        <w:t>hez</w:t>
      </w:r>
      <w:r w:rsidRPr="00B96C53">
        <w:rPr>
          <w:szCs w:val="24"/>
        </w:rPr>
        <w:t>.</w:t>
      </w:r>
      <w:r w:rsidR="000B2024" w:rsidRPr="00B96C53">
        <w:rPr>
          <w:szCs w:val="24"/>
        </w:rPr>
        <w:t xml:space="preserve"> </w:t>
      </w:r>
      <w:r w:rsidR="00DB7556">
        <w:rPr>
          <w:szCs w:val="24"/>
        </w:rPr>
        <w:t xml:space="preserve"> </w:t>
      </w:r>
      <w:r w:rsidR="000B2024" w:rsidRPr="00B96C53">
        <w:rPr>
          <w:szCs w:val="24"/>
        </w:rPr>
        <w:t>A következő fő üzenetekre összpontosítunk</w:t>
      </w:r>
      <w:r w:rsidRPr="00B96C53">
        <w:rPr>
          <w:szCs w:val="24"/>
        </w:rPr>
        <w:t>:</w:t>
      </w:r>
      <w:r w:rsidR="000B2024" w:rsidRPr="00B96C53">
        <w:rPr>
          <w:szCs w:val="24"/>
        </w:rPr>
        <w:t xml:space="preserve"> </w:t>
      </w:r>
    </w:p>
    <w:p w:rsidR="00B96C53" w:rsidRPr="00B96C53" w:rsidRDefault="00B96C53" w:rsidP="00B96C53">
      <w:pPr>
        <w:spacing w:after="0"/>
        <w:ind w:left="11" w:right="164" w:firstLine="11"/>
        <w:rPr>
          <w:szCs w:val="24"/>
        </w:rPr>
      </w:pP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0"/>
        <w:ind w:left="426" w:right="164" w:hanging="851"/>
        <w:rPr>
          <w:szCs w:val="24"/>
        </w:rPr>
      </w:pPr>
      <w:r w:rsidRPr="00B96C53">
        <w:rPr>
          <w:szCs w:val="24"/>
        </w:rPr>
        <w:t xml:space="preserve">Az ágazati szociális párbeszéd és a </w:t>
      </w:r>
      <w:proofErr w:type="gramStart"/>
      <w:r w:rsidRPr="00B96C53">
        <w:rPr>
          <w:szCs w:val="24"/>
        </w:rPr>
        <w:t>kollektív</w:t>
      </w:r>
      <w:proofErr w:type="gramEnd"/>
      <w:r w:rsidRPr="00B96C53">
        <w:rPr>
          <w:szCs w:val="24"/>
        </w:rPr>
        <w:t xml:space="preserve"> tárgyalások alapvető fontosságúak </w:t>
      </w:r>
      <w:r w:rsidR="00DB7556">
        <w:rPr>
          <w:szCs w:val="24"/>
        </w:rPr>
        <w:t xml:space="preserve">az </w:t>
      </w:r>
      <w:r w:rsidRPr="00B96C53">
        <w:rPr>
          <w:szCs w:val="24"/>
        </w:rPr>
        <w:t>ágazatainkban,</w:t>
      </w:r>
      <w:r w:rsidR="00DB7556">
        <w:rPr>
          <w:szCs w:val="24"/>
        </w:rPr>
        <w:t xml:space="preserve"> </w:t>
      </w:r>
      <w:r w:rsidRPr="00B96C53">
        <w:rPr>
          <w:szCs w:val="24"/>
        </w:rPr>
        <w:t xml:space="preserve">az európai szociális modell és a szociális piacgazdaság kulcsfontosságú elemei a változások kezelése, valamint a versenyképes, rugalmas és befogadó munkaerőpiacok biztosítása érdekében. </w:t>
      </w:r>
    </w:p>
    <w:p w:rsidR="00B96C53" w:rsidRPr="00B96C53" w:rsidRDefault="00B96C53" w:rsidP="00B96C53">
      <w:pPr>
        <w:pStyle w:val="Listaszerbekezds"/>
        <w:spacing w:after="0"/>
        <w:ind w:left="426" w:right="164" w:firstLine="0"/>
        <w:rPr>
          <w:szCs w:val="24"/>
        </w:rPr>
      </w:pPr>
    </w:p>
    <w:p w:rsidR="00B96C53" w:rsidRPr="006936DF" w:rsidRDefault="000B2024" w:rsidP="00B96C53">
      <w:pPr>
        <w:pStyle w:val="Listaszerbekezds"/>
        <w:numPr>
          <w:ilvl w:val="0"/>
          <w:numId w:val="4"/>
        </w:numPr>
        <w:spacing w:after="0"/>
        <w:ind w:left="426" w:right="164" w:hanging="851"/>
        <w:rPr>
          <w:szCs w:val="24"/>
        </w:rPr>
      </w:pPr>
      <w:r w:rsidRPr="00B96C53">
        <w:rPr>
          <w:szCs w:val="24"/>
        </w:rPr>
        <w:t>A szociális partnerek autonómiáját teljes mértékben biztosítani kell munkájuk végzése során, az ágazati szociális párbeszéd folytatásától a megállapodások és/vagy közös nyilatkozatok megtárgyalásáig.</w:t>
      </w:r>
    </w:p>
    <w:p w:rsidR="00B96C53" w:rsidRPr="00B96C53" w:rsidRDefault="00B96C53" w:rsidP="00B96C53">
      <w:pPr>
        <w:pStyle w:val="Listaszerbekezds"/>
        <w:spacing w:after="0"/>
        <w:ind w:left="426" w:right="164" w:firstLine="0"/>
        <w:rPr>
          <w:szCs w:val="24"/>
        </w:rPr>
      </w:pP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 tagállamoknak </w:t>
      </w:r>
      <w:r w:rsidR="006936DF">
        <w:rPr>
          <w:szCs w:val="24"/>
        </w:rPr>
        <w:t xml:space="preserve">a </w:t>
      </w:r>
      <w:proofErr w:type="gramStart"/>
      <w:r w:rsidR="006936DF">
        <w:rPr>
          <w:szCs w:val="24"/>
        </w:rPr>
        <w:t>konzultációt</w:t>
      </w:r>
      <w:proofErr w:type="gramEnd"/>
      <w:r w:rsidR="006936DF">
        <w:rPr>
          <w:szCs w:val="24"/>
        </w:rPr>
        <w:t xml:space="preserve"> követően</w:t>
      </w:r>
      <w:r w:rsidRPr="00B96C53">
        <w:rPr>
          <w:szCs w:val="24"/>
        </w:rPr>
        <w:t xml:space="preserve"> a szociális partnerekkel szoros együttműködésben törekedniük kell a kollektív tárgyalások megerősítésére nemzeti ágazati és vállalati szinten, a kapacitásépítésre összpontosítva, tiszteletben tartva a szociális partnerek autonómiáját, valamint a különböző nemzeti kollektív tárgyalási rendszereket és hagyományokat</w:t>
      </w:r>
      <w:r w:rsidR="006936DF">
        <w:rPr>
          <w:szCs w:val="24"/>
        </w:rPr>
        <w:t>.</w:t>
      </w:r>
      <w:r w:rsidRPr="00B96C53">
        <w:rPr>
          <w:szCs w:val="24"/>
        </w:rPr>
        <w:t xml:space="preserve"> E megközelítés részeként egyértelműen különbséget kell tenni a szociális partnereknek és más nem kormányzati szervezeteknek nyújtott kapacitásépítési támogatás között. Ezt a kérdést a következő pénzügyi időszakra vonatkozó közös rendelkezésekről szóló rendeletről és az ESZA+-rendeletrő</w:t>
      </w:r>
      <w:r w:rsidR="006936DF">
        <w:rPr>
          <w:szCs w:val="24"/>
        </w:rPr>
        <w:t>l szóló viták során fel kell vet</w:t>
      </w:r>
      <w:r w:rsidRPr="00B96C53">
        <w:rPr>
          <w:szCs w:val="24"/>
        </w:rPr>
        <w:t xml:space="preserve">ni. 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Az európai ágazati munkaadói szervezetek (és szakszervezetek) máris komoly aggályokat fogalmaztak meg az ágazati szociális párbeszéd bizottságok megszervezésére javasolt alternatív megközelítéssel kapcsolatban, különösen a többéves, projektalapú" </w:t>
      </w:r>
      <w:proofErr w:type="gramStart"/>
      <w:r w:rsidRPr="00B96C53">
        <w:rPr>
          <w:szCs w:val="24"/>
        </w:rPr>
        <w:t>finanszírozás</w:t>
      </w:r>
      <w:proofErr w:type="gramEnd"/>
      <w:r w:rsidRPr="00B96C53">
        <w:rPr>
          <w:szCs w:val="24"/>
        </w:rPr>
        <w:t xml:space="preserve"> gondolatával kapcsolatban, amely veszélyeztetheti a szociális partnerek autonómiáját és a megfelelő eredmények elérés</w:t>
      </w:r>
      <w:r w:rsidR="00F81C25">
        <w:rPr>
          <w:szCs w:val="24"/>
        </w:rPr>
        <w:t xml:space="preserve">ére való képességüket. A </w:t>
      </w:r>
      <w:proofErr w:type="gramStart"/>
      <w:r w:rsidRPr="00B96C53">
        <w:rPr>
          <w:szCs w:val="24"/>
        </w:rPr>
        <w:t>finanszírozás</w:t>
      </w:r>
      <w:proofErr w:type="gramEnd"/>
      <w:r w:rsidRPr="00B96C53">
        <w:rPr>
          <w:szCs w:val="24"/>
        </w:rPr>
        <w:t xml:space="preserve"> biztonságának és kiszámíthatóságának hiánya szintén veszélyeztetheti egyes bizottságok fennmaradását.</w:t>
      </w:r>
    </w:p>
    <w:p w:rsidR="00B96C53" w:rsidRPr="00B96C53" w:rsidRDefault="00B96C53" w:rsidP="00B96C53">
      <w:pPr>
        <w:pStyle w:val="Listaszerbekezds"/>
        <w:spacing w:after="919"/>
        <w:ind w:left="426" w:right="163" w:hanging="851"/>
        <w:rPr>
          <w:szCs w:val="24"/>
        </w:rPr>
      </w:pPr>
    </w:p>
    <w:p w:rsidR="00B96C53" w:rsidRPr="00F24F49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>A nemzeti politikai döntéshozóknak a szociális partnerekkel szorosan együttműködve és ve</w:t>
      </w:r>
      <w:r w:rsidR="00F24F49">
        <w:rPr>
          <w:szCs w:val="24"/>
        </w:rPr>
        <w:t xml:space="preserve">lük </w:t>
      </w:r>
      <w:proofErr w:type="gramStart"/>
      <w:r w:rsidR="00F24F49">
        <w:rPr>
          <w:szCs w:val="24"/>
        </w:rPr>
        <w:t>konzultálva</w:t>
      </w:r>
      <w:proofErr w:type="gramEnd"/>
      <w:r w:rsidR="00F24F49">
        <w:rPr>
          <w:szCs w:val="24"/>
        </w:rPr>
        <w:t xml:space="preserve"> kell törekedniük </w:t>
      </w:r>
      <w:r w:rsidRPr="00B96C53">
        <w:rPr>
          <w:szCs w:val="24"/>
        </w:rPr>
        <w:t xml:space="preserve">a kollektív tárgyalások nagyobb mértékű lefedettségének elérésére, mivel egyértelműen bebizonyosodott, hogy az erős szociális partnerséggel és a kollektív tárgyalások nagyobb mértékű elterjedtségével rendelkező országok általában rugalmasabb munkaerőpiacokkal, alacsonyabb munkanélküliséggel és az alacsonyan fizetett munkavállalók alacsonyabb arányával rendelkeznek. </w:t>
      </w:r>
      <w:r w:rsidRPr="00B96C53">
        <w:rPr>
          <w:szCs w:val="24"/>
        </w:rPr>
        <w:lastRenderedPageBreak/>
        <w:t xml:space="preserve">Mindazonáltal határozottan ellenezzük, hogy a </w:t>
      </w:r>
      <w:proofErr w:type="gramStart"/>
      <w:r w:rsidRPr="00B96C53">
        <w:rPr>
          <w:szCs w:val="24"/>
        </w:rPr>
        <w:t>kollektív</w:t>
      </w:r>
      <w:proofErr w:type="gramEnd"/>
      <w:r w:rsidRPr="00B96C53">
        <w:rPr>
          <w:szCs w:val="24"/>
        </w:rPr>
        <w:t xml:space="preserve"> tárgyalások lefedettségére vonatkozó európai célt 2030-ra 90%-</w:t>
      </w:r>
      <w:proofErr w:type="spellStart"/>
      <w:r w:rsidRPr="00B96C53">
        <w:rPr>
          <w:szCs w:val="24"/>
        </w:rPr>
        <w:t>ban</w:t>
      </w:r>
      <w:proofErr w:type="spellEnd"/>
      <w:r w:rsidRPr="00B96C53">
        <w:rPr>
          <w:szCs w:val="24"/>
        </w:rPr>
        <w:t xml:space="preserve"> határozzák meg (7. bekezdés). E cél kitűzése nem csak egyértelműen sérti a szociális p</w:t>
      </w:r>
      <w:r w:rsidR="00F24F49">
        <w:rPr>
          <w:szCs w:val="24"/>
        </w:rPr>
        <w:t xml:space="preserve">artnerek autonómiáját, de </w:t>
      </w:r>
      <w:r w:rsidRPr="00B96C53">
        <w:rPr>
          <w:szCs w:val="24"/>
        </w:rPr>
        <w:t>megnyitja az utat a politikai beavatkozás előtt a bérek megha</w:t>
      </w:r>
      <w:r w:rsidR="00F24F49">
        <w:rPr>
          <w:szCs w:val="24"/>
        </w:rPr>
        <w:t>tározásában Európa-szerte és</w:t>
      </w:r>
      <w:r w:rsidRPr="00B96C53">
        <w:rPr>
          <w:szCs w:val="24"/>
        </w:rPr>
        <w:t xml:space="preserve"> jóval túlmutat azon, amiről az európai intézmények már megállapodtak a megfelelő minimálbérről szóló irányelvvel. 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0B2024" w:rsidRPr="00B96C53" w:rsidRDefault="00B96C53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proofErr w:type="gramStart"/>
      <w:r w:rsidRPr="00B96C53">
        <w:rPr>
          <w:szCs w:val="24"/>
        </w:rPr>
        <w:t>S</w:t>
      </w:r>
      <w:r w:rsidR="000B2024" w:rsidRPr="00B96C53">
        <w:rPr>
          <w:szCs w:val="24"/>
        </w:rPr>
        <w:t>ok uniós</w:t>
      </w:r>
      <w:proofErr w:type="gramEnd"/>
      <w:r w:rsidR="000B2024" w:rsidRPr="00B96C53">
        <w:rPr>
          <w:szCs w:val="24"/>
        </w:rPr>
        <w:t xml:space="preserve"> országban a szociális partnerek a nemzeti szabályok szerint eltérhetnek a magasabb szinten k</w:t>
      </w:r>
      <w:r w:rsidR="00F24F49">
        <w:rPr>
          <w:szCs w:val="24"/>
        </w:rPr>
        <w:t>ötött kollektív szerződésektől, e</w:t>
      </w:r>
      <w:r w:rsidR="000B2024" w:rsidRPr="00B96C53">
        <w:rPr>
          <w:szCs w:val="24"/>
        </w:rPr>
        <w:t xml:space="preserve">zért a magasabb szinten kötött kollektív szerződésektől való eltérés bizonyos helyzetekre való korlátozása a szociális partnerek autonómiájába való beavatkozást jelent. 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B96C53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 szociális partnerekkel folytatott </w:t>
      </w:r>
      <w:proofErr w:type="gramStart"/>
      <w:r w:rsidRPr="00B96C53">
        <w:rPr>
          <w:szCs w:val="24"/>
        </w:rPr>
        <w:t>konzultáció</w:t>
      </w:r>
      <w:proofErr w:type="gramEnd"/>
      <w:r w:rsidRPr="00B96C53">
        <w:rPr>
          <w:szCs w:val="24"/>
        </w:rPr>
        <w:t xml:space="preserve"> gazdasági, szociá</w:t>
      </w:r>
      <w:r w:rsidR="00F24F49">
        <w:rPr>
          <w:szCs w:val="24"/>
        </w:rPr>
        <w:t>lis és foglalkoztatási politikáról elengedhetetlen, u</w:t>
      </w:r>
      <w:r w:rsidRPr="00B96C53">
        <w:rPr>
          <w:szCs w:val="24"/>
        </w:rPr>
        <w:t>gyanakkor az is fontos, hogy az ajánlásokat és álláspontokat ténylegesen figyelembe vegyék az</w:t>
      </w:r>
      <w:r w:rsidR="00F24F49">
        <w:rPr>
          <w:szCs w:val="24"/>
        </w:rPr>
        <w:t xml:space="preserve"> uniós politika</w:t>
      </w:r>
      <w:r w:rsidRPr="00B96C53">
        <w:rPr>
          <w:szCs w:val="24"/>
        </w:rPr>
        <w:t xml:space="preserve"> kialakításakor.</w:t>
      </w:r>
    </w:p>
    <w:p w:rsidR="00B96C53" w:rsidRPr="00B96C53" w:rsidRDefault="00B96C53" w:rsidP="00B96C53">
      <w:pPr>
        <w:pStyle w:val="Listaszerbekezds"/>
        <w:rPr>
          <w:szCs w:val="24"/>
        </w:rPr>
      </w:pPr>
    </w:p>
    <w:p w:rsidR="000B2024" w:rsidRPr="00B96C53" w:rsidRDefault="000B2024" w:rsidP="00B96C53">
      <w:pPr>
        <w:pStyle w:val="Listaszerbekezds"/>
        <w:spacing w:after="919"/>
        <w:ind w:left="426" w:right="163" w:firstLine="0"/>
        <w:rPr>
          <w:szCs w:val="24"/>
        </w:rPr>
      </w:pPr>
      <w:r w:rsidRPr="00B96C53">
        <w:rPr>
          <w:szCs w:val="24"/>
        </w:rPr>
        <w:t xml:space="preserve"> </w:t>
      </w: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>A munka új és változatos formáinak szerepét a dinamikus, befogadó és rugalmas munkaerőpiacok lehetővé téte</w:t>
      </w:r>
      <w:r w:rsidR="00F24F49">
        <w:rPr>
          <w:szCs w:val="24"/>
        </w:rPr>
        <w:t>lében teljes mértékben</w:t>
      </w:r>
      <w:r w:rsidRPr="00B96C53">
        <w:rPr>
          <w:szCs w:val="24"/>
        </w:rPr>
        <w:t xml:space="preserve"> el kell ismerni. </w:t>
      </w:r>
      <w:r w:rsidR="00F24F49">
        <w:rPr>
          <w:szCs w:val="24"/>
        </w:rPr>
        <w:t>Az e</w:t>
      </w:r>
      <w:r w:rsidRPr="00B96C53">
        <w:rPr>
          <w:szCs w:val="24"/>
        </w:rPr>
        <w:t>ur</w:t>
      </w:r>
      <w:r w:rsidR="00F24F49">
        <w:rPr>
          <w:szCs w:val="24"/>
        </w:rPr>
        <w:t>ópai ágazati szociális partnere</w:t>
      </w:r>
      <w:r w:rsidRPr="00B96C53">
        <w:rPr>
          <w:szCs w:val="24"/>
        </w:rPr>
        <w:t>ként szeretnénk emlékeztetni arr</w:t>
      </w:r>
      <w:r w:rsidR="00F24F49">
        <w:rPr>
          <w:szCs w:val="24"/>
        </w:rPr>
        <w:t xml:space="preserve">a, hogy a munka egyes </w:t>
      </w:r>
      <w:r w:rsidRPr="00B96C53">
        <w:rPr>
          <w:szCs w:val="24"/>
        </w:rPr>
        <w:t>formái, mint például a részmunkaidő, a határozott idejű szerz</w:t>
      </w:r>
      <w:r w:rsidR="00F24F49">
        <w:rPr>
          <w:szCs w:val="24"/>
        </w:rPr>
        <w:t>ődések és a munkaerő-kölcsönzés</w:t>
      </w:r>
      <w:r w:rsidRPr="00B96C53">
        <w:rPr>
          <w:szCs w:val="24"/>
        </w:rPr>
        <w:t xml:space="preserve"> már megfelelő módon a szociális párbeszéd és a </w:t>
      </w:r>
      <w:proofErr w:type="gramStart"/>
      <w:r w:rsidRPr="00B96C53">
        <w:rPr>
          <w:szCs w:val="24"/>
        </w:rPr>
        <w:t>kollektív</w:t>
      </w:r>
      <w:proofErr w:type="gramEnd"/>
      <w:r w:rsidRPr="00B96C53">
        <w:rPr>
          <w:szCs w:val="24"/>
        </w:rPr>
        <w:t xml:space="preserve"> munkaszerződések hatálya alá tartoznak. 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0B2024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Az uniós tagállamoknak úgy kell átültetniük a megfelelő minimálbérekről szóló uniós irányelvet, hogy az teljes mértékben elismerje és tiszteletben tartsa a nemzeti </w:t>
      </w:r>
      <w:proofErr w:type="gramStart"/>
      <w:r w:rsidRPr="00B96C53">
        <w:rPr>
          <w:szCs w:val="24"/>
        </w:rPr>
        <w:t>kollektív</w:t>
      </w:r>
      <w:proofErr w:type="gramEnd"/>
      <w:r w:rsidRPr="00B96C53">
        <w:rPr>
          <w:szCs w:val="24"/>
        </w:rPr>
        <w:t xml:space="preserve"> tárgyalási gyakorlatokat és a szociális partnerek autonómiáját a minimálbérek kollektív munkaszerződésekben történő megállapításában.</w:t>
      </w:r>
    </w:p>
    <w:p w:rsidR="00DB7556" w:rsidRPr="00B96C53" w:rsidRDefault="00DB7556" w:rsidP="00DB7556">
      <w:pPr>
        <w:pStyle w:val="Listaszerbekezds"/>
        <w:spacing w:after="919"/>
        <w:ind w:left="426" w:right="163" w:firstLine="0"/>
        <w:rPr>
          <w:szCs w:val="24"/>
        </w:rPr>
      </w:pP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Az Európai Bizottságnak tartózkodnia kell attól, hogy új jogszabályokat javasoljon a munkavállalók tájékoztatása és a </w:t>
      </w:r>
      <w:r w:rsidR="001466D7">
        <w:rPr>
          <w:szCs w:val="24"/>
        </w:rPr>
        <w:t xml:space="preserve">velük való </w:t>
      </w:r>
      <w:proofErr w:type="gramStart"/>
      <w:r w:rsidR="001466D7">
        <w:rPr>
          <w:szCs w:val="24"/>
        </w:rPr>
        <w:t>konzultáció</w:t>
      </w:r>
      <w:proofErr w:type="gramEnd"/>
      <w:r w:rsidR="001466D7">
        <w:rPr>
          <w:szCs w:val="24"/>
        </w:rPr>
        <w:t xml:space="preserve"> terén. </w:t>
      </w:r>
      <w:r w:rsidRPr="00B96C53">
        <w:rPr>
          <w:szCs w:val="24"/>
        </w:rPr>
        <w:t xml:space="preserve">Új jogszabályok bevezetése további terhet ró a vállalatokra, különösen a kkv-kra, és így akadályozza versenyképességüket, valamint innovációs és minőségi munkahelyek biztosítására való képességüket. </w:t>
      </w:r>
      <w:proofErr w:type="spellStart"/>
      <w:r w:rsidRPr="00B96C53">
        <w:rPr>
          <w:szCs w:val="24"/>
        </w:rPr>
        <w:t>nhelyett</w:t>
      </w:r>
      <w:proofErr w:type="spellEnd"/>
      <w:r w:rsidRPr="00B96C53">
        <w:rPr>
          <w:szCs w:val="24"/>
        </w:rPr>
        <w:t xml:space="preserve"> inkább a meglévő jogszabályok nemzeti szintű végrehajtásának javítására kell összpontosítanunk. Ide tartozik a 2009-es európai üzemi tanácsi irányelv is, amelyet jelenlegi formájában megfelelőnek tartunk.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0B2024" w:rsidRPr="00B96C53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Az Európai Bizottságnak teljes </w:t>
      </w:r>
      <w:proofErr w:type="gramStart"/>
      <w:r w:rsidRPr="00B96C53">
        <w:rPr>
          <w:szCs w:val="24"/>
        </w:rPr>
        <w:t>mért</w:t>
      </w:r>
      <w:r w:rsidR="00F24F49">
        <w:rPr>
          <w:szCs w:val="24"/>
        </w:rPr>
        <w:t>ékben tiszteletben</w:t>
      </w:r>
      <w:proofErr w:type="gramEnd"/>
      <w:r w:rsidR="00F24F49">
        <w:rPr>
          <w:szCs w:val="24"/>
        </w:rPr>
        <w:t xml:space="preserve"> kell tartani</w:t>
      </w:r>
      <w:r w:rsidRPr="00B96C53">
        <w:rPr>
          <w:szCs w:val="24"/>
        </w:rPr>
        <w:t xml:space="preserve"> az európai szociális partnerek közötti megállapodásokat mind ágazatközi, mind ágazati szinten, valamint a szociális partnerek megállapodásainak a Szerződés rendelkezéseivel összhangban történő végrehajtását.</w:t>
      </w:r>
    </w:p>
    <w:p w:rsidR="00B96C53" w:rsidRPr="00B96C53" w:rsidRDefault="00B96C53" w:rsidP="00B96C53">
      <w:pPr>
        <w:pStyle w:val="Listaszerbekezds"/>
        <w:spacing w:after="919"/>
        <w:ind w:left="426" w:right="163" w:firstLine="0"/>
        <w:rPr>
          <w:szCs w:val="24"/>
        </w:rPr>
      </w:pPr>
    </w:p>
    <w:p w:rsidR="00E119CE" w:rsidRDefault="000B2024" w:rsidP="00B96C53">
      <w:pPr>
        <w:pStyle w:val="Listaszerbekezds"/>
        <w:numPr>
          <w:ilvl w:val="0"/>
          <w:numId w:val="4"/>
        </w:numPr>
        <w:spacing w:after="919"/>
        <w:ind w:left="426" w:right="163" w:hanging="851"/>
        <w:rPr>
          <w:szCs w:val="24"/>
        </w:rPr>
      </w:pPr>
      <w:r w:rsidRPr="00B96C53">
        <w:rPr>
          <w:szCs w:val="24"/>
        </w:rPr>
        <w:t xml:space="preserve">A közbeszerzési szabályok felülvizsgálatára vonatkozó bármilyen konzekvenciának </w:t>
      </w:r>
      <w:proofErr w:type="gramStart"/>
      <w:r w:rsidRPr="00B96C53">
        <w:rPr>
          <w:szCs w:val="24"/>
        </w:rPr>
        <w:t>átfogó</w:t>
      </w:r>
      <w:proofErr w:type="gramEnd"/>
      <w:r w:rsidRPr="00B96C53">
        <w:rPr>
          <w:szCs w:val="24"/>
        </w:rPr>
        <w:t xml:space="preserve"> megközelítésen kell alapulnia, egyensúlyt teremtve a szociális dimenzióra való figyelem és a következők szükségessége között</w:t>
      </w:r>
    </w:p>
    <w:p w:rsidR="00DB7556" w:rsidRPr="00DB7556" w:rsidRDefault="00DB7556" w:rsidP="00DB7556">
      <w:pPr>
        <w:pStyle w:val="Listaszerbekezds"/>
        <w:rPr>
          <w:szCs w:val="24"/>
        </w:rPr>
      </w:pPr>
    </w:p>
    <w:p w:rsidR="005F2D0F" w:rsidRPr="00EA4827" w:rsidRDefault="00DB7556" w:rsidP="00EA4827">
      <w:pPr>
        <w:spacing w:after="919"/>
        <w:ind w:left="3544" w:right="163" w:hanging="3118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dokumentum</w:t>
      </w:r>
      <w:proofErr w:type="gramEnd"/>
      <w:r>
        <w:rPr>
          <w:szCs w:val="24"/>
        </w:rPr>
        <w:t xml:space="preserve"> gépi fordítással készült.</w:t>
      </w:r>
      <w:bookmarkStart w:id="0" w:name="_GoBack"/>
      <w:bookmarkEnd w:id="0"/>
    </w:p>
    <w:sectPr w:rsidR="005F2D0F" w:rsidRPr="00EA4827" w:rsidSect="00C7685F">
      <w:pgSz w:w="11906" w:h="16838"/>
      <w:pgMar w:top="993" w:right="145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2E5"/>
    <w:multiLevelType w:val="hybridMultilevel"/>
    <w:tmpl w:val="5D0C11EC"/>
    <w:lvl w:ilvl="0" w:tplc="FF480964">
      <w:start w:val="1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691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28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CC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EC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5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607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6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CD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E21BF"/>
    <w:multiLevelType w:val="hybridMultilevel"/>
    <w:tmpl w:val="97AAEDCC"/>
    <w:lvl w:ilvl="0" w:tplc="72DA9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0B2"/>
    <w:multiLevelType w:val="hybridMultilevel"/>
    <w:tmpl w:val="FF7E3AAE"/>
    <w:lvl w:ilvl="0" w:tplc="9C722E6E">
      <w:start w:val="1"/>
      <w:numFmt w:val="decimal"/>
      <w:lvlText w:val="%1.)"/>
      <w:lvlJc w:val="left"/>
      <w:pPr>
        <w:ind w:left="144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30EFA"/>
    <w:multiLevelType w:val="hybridMultilevel"/>
    <w:tmpl w:val="A4389864"/>
    <w:lvl w:ilvl="0" w:tplc="C3F6673A">
      <w:start w:val="1"/>
      <w:numFmt w:val="decimal"/>
      <w:lvlText w:val="%1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A0AAE8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30F2EC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E69F18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8E7D38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0AA372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A62136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063BC6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E4793C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E"/>
    <w:rsid w:val="000769D8"/>
    <w:rsid w:val="000B2024"/>
    <w:rsid w:val="001466D7"/>
    <w:rsid w:val="00355159"/>
    <w:rsid w:val="005F2D0F"/>
    <w:rsid w:val="006936DF"/>
    <w:rsid w:val="00B96C53"/>
    <w:rsid w:val="00C7685F"/>
    <w:rsid w:val="00DB7556"/>
    <w:rsid w:val="00E119CE"/>
    <w:rsid w:val="00EA4827"/>
    <w:rsid w:val="00F02CBB"/>
    <w:rsid w:val="00F24F49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13C"/>
  <w15:docId w15:val="{BB3C815A-4FC7-43D3-96E9-8F7E4CD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7" w:line="226" w:lineRule="auto"/>
      <w:ind w:left="4691" w:hanging="351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586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9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Freytag</dc:creator>
  <cp:keywords/>
  <cp:lastModifiedBy>Horváth Beatrix</cp:lastModifiedBy>
  <cp:revision>7</cp:revision>
  <dcterms:created xsi:type="dcterms:W3CDTF">2023-05-16T08:24:00Z</dcterms:created>
  <dcterms:modified xsi:type="dcterms:W3CDTF">2023-05-16T09:43:00Z</dcterms:modified>
</cp:coreProperties>
</file>